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87CB" w14:textId="46FA905D" w:rsidR="00AA175C" w:rsidRDefault="00AA175C" w:rsidP="00AA175C">
      <w:pPr>
        <w:spacing w:after="0" w:line="240" w:lineRule="auto"/>
      </w:pPr>
      <w:r>
        <w:t>Dear Members of the</w:t>
      </w:r>
      <w:r w:rsidR="003B024F">
        <w:t xml:space="preserve"> Moraga</w:t>
      </w:r>
      <w:r>
        <w:t xml:space="preserve"> Town Council:</w:t>
      </w:r>
    </w:p>
    <w:p w14:paraId="434E7226" w14:textId="77777777" w:rsidR="00AA175C" w:rsidRDefault="00AA175C" w:rsidP="00AA175C">
      <w:pPr>
        <w:spacing w:after="0" w:line="240" w:lineRule="auto"/>
      </w:pPr>
    </w:p>
    <w:p w14:paraId="31808708" w14:textId="6523690A" w:rsidR="009E0545" w:rsidRDefault="009E0545" w:rsidP="00AA175C">
      <w:pPr>
        <w:spacing w:after="0" w:line="240" w:lineRule="auto"/>
      </w:pPr>
      <w:r>
        <w:t xml:space="preserve">I urge you to </w:t>
      </w:r>
      <w:r w:rsidRPr="00FA2433">
        <w:rPr>
          <w:b/>
          <w:bCs/>
        </w:rPr>
        <w:t>REJECT</w:t>
      </w:r>
      <w:r>
        <w:t xml:space="preserve"> </w:t>
      </w:r>
      <w:r w:rsidR="003B024F">
        <w:t xml:space="preserve">the </w:t>
      </w:r>
      <w:r>
        <w:t xml:space="preserve">approval of the 4-story, 49-foot tall, 66-unit luxury apartment building </w:t>
      </w:r>
      <w:r w:rsidR="00AA175C">
        <w:t xml:space="preserve">proposed for the </w:t>
      </w:r>
      <w:r>
        <w:t>1600 School Street</w:t>
      </w:r>
      <w:r w:rsidR="00AA175C">
        <w:t xml:space="preserve"> site for the following reasons:</w:t>
      </w:r>
    </w:p>
    <w:p w14:paraId="7100D418" w14:textId="77777777" w:rsidR="003B024F" w:rsidRDefault="003B024F" w:rsidP="003B024F">
      <w:pPr>
        <w:spacing w:after="0" w:line="240" w:lineRule="auto"/>
      </w:pPr>
    </w:p>
    <w:p w14:paraId="2117DBFB" w14:textId="10286D2D" w:rsidR="003B024F" w:rsidRDefault="0034732E" w:rsidP="0034732E">
      <w:pPr>
        <w:spacing w:after="0" w:line="240" w:lineRule="auto"/>
      </w:pPr>
      <w:r>
        <w:rPr>
          <w:b/>
          <w:bCs/>
        </w:rPr>
        <w:t xml:space="preserve">I. </w:t>
      </w:r>
      <w:r w:rsidR="00FA2433" w:rsidRPr="0034732E">
        <w:rPr>
          <w:b/>
          <w:bCs/>
        </w:rPr>
        <w:t xml:space="preserve">The impact of this project on wildfire evacuation capacity </w:t>
      </w:r>
      <w:r w:rsidR="008A6885">
        <w:rPr>
          <w:b/>
          <w:bCs/>
        </w:rPr>
        <w:t>has</w:t>
      </w:r>
      <w:r w:rsidR="00FA2433" w:rsidRPr="0034732E">
        <w:rPr>
          <w:b/>
          <w:bCs/>
        </w:rPr>
        <w:t xml:space="preserve"> NOT been adequately studied.</w:t>
      </w:r>
      <w:r w:rsidR="00FA2433">
        <w:t xml:space="preserve"> </w:t>
      </w:r>
    </w:p>
    <w:p w14:paraId="3309C401" w14:textId="77777777" w:rsidR="003B024F" w:rsidRDefault="003B024F" w:rsidP="00AA175C">
      <w:pPr>
        <w:spacing w:after="0" w:line="240" w:lineRule="auto"/>
      </w:pPr>
    </w:p>
    <w:p w14:paraId="703E6C25" w14:textId="4A57F62D" w:rsidR="00FA2433" w:rsidRDefault="00EE4C7F" w:rsidP="00AA175C">
      <w:pPr>
        <w:spacing w:after="0" w:line="240" w:lineRule="auto"/>
      </w:pPr>
      <w:r>
        <w:t xml:space="preserve">Adding </w:t>
      </w:r>
      <w:r w:rsidR="00862A13">
        <w:t xml:space="preserve">significant </w:t>
      </w:r>
      <w:r>
        <w:t>population density</w:t>
      </w:r>
      <w:r w:rsidR="00862A13">
        <w:t xml:space="preserve"> near the terminus of the </w:t>
      </w:r>
      <w:r w:rsidR="00FA2433">
        <w:t xml:space="preserve">2-lane </w:t>
      </w:r>
      <w:r w:rsidR="00862A13">
        <w:t>Moraga Way evacuation corridor</w:t>
      </w:r>
      <w:r w:rsidR="00FA2433">
        <w:t>,</w:t>
      </w:r>
      <w:r w:rsidR="00862A13">
        <w:t xml:space="preserve"> </w:t>
      </w:r>
      <w:r w:rsidR="00FA2433">
        <w:t>on a site that is</w:t>
      </w:r>
      <w:r w:rsidR="00862A13">
        <w:t xml:space="preserve"> </w:t>
      </w:r>
      <w:r w:rsidR="00862A13" w:rsidRPr="003B024F">
        <w:rPr>
          <w:u w:val="single"/>
        </w:rPr>
        <w:t>5 miles</w:t>
      </w:r>
      <w:r w:rsidR="00E93EB2">
        <w:rPr>
          <w:u w:val="single"/>
        </w:rPr>
        <w:t xml:space="preserve"> away</w:t>
      </w:r>
      <w:r w:rsidR="00862A13">
        <w:t xml:space="preserve"> from SR-24</w:t>
      </w:r>
      <w:r w:rsidR="00FA2433">
        <w:t>,</w:t>
      </w:r>
      <w:r>
        <w:t xml:space="preserve"> </w:t>
      </w:r>
      <w:r w:rsidR="00FA2433" w:rsidRPr="00FA2433">
        <w:rPr>
          <w:b/>
          <w:bCs/>
        </w:rPr>
        <w:t>will</w:t>
      </w:r>
      <w:r w:rsidR="00FA2433">
        <w:t xml:space="preserve"> </w:t>
      </w:r>
      <w:r w:rsidR="00FA2433" w:rsidRPr="00FA2433">
        <w:rPr>
          <w:b/>
          <w:bCs/>
        </w:rPr>
        <w:t>further complicate wildfire evacuation efforts</w:t>
      </w:r>
      <w:r w:rsidR="00FA2433">
        <w:rPr>
          <w:b/>
          <w:bCs/>
        </w:rPr>
        <w:t xml:space="preserve"> for all Moraga and Orinda neighborhoods </w:t>
      </w:r>
      <w:r w:rsidR="003B024F">
        <w:rPr>
          <w:b/>
          <w:bCs/>
        </w:rPr>
        <w:t xml:space="preserve">that are </w:t>
      </w:r>
      <w:r w:rsidR="00FA2433">
        <w:rPr>
          <w:b/>
          <w:bCs/>
        </w:rPr>
        <w:t>reliant on</w:t>
      </w:r>
      <w:r w:rsidR="00F55153">
        <w:rPr>
          <w:b/>
          <w:bCs/>
        </w:rPr>
        <w:t xml:space="preserve"> the </w:t>
      </w:r>
      <w:r w:rsidR="00FA2433">
        <w:rPr>
          <w:b/>
          <w:bCs/>
        </w:rPr>
        <w:t>Moraga Way evacuation corridor</w:t>
      </w:r>
      <w:r w:rsidR="00FA2433">
        <w:t xml:space="preserve">. </w:t>
      </w:r>
      <w:r w:rsidR="003B024F">
        <w:t xml:space="preserve">Moraga residents living in neighborhoods </w:t>
      </w:r>
      <w:r w:rsidR="003E6DD7">
        <w:t xml:space="preserve">South </w:t>
      </w:r>
      <w:r w:rsidR="003B024F">
        <w:t>of the project</w:t>
      </w:r>
      <w:r w:rsidR="003E6DD7">
        <w:t xml:space="preserve"> </w:t>
      </w:r>
      <w:proofErr w:type="gramStart"/>
      <w:r w:rsidR="003E6DD7">
        <w:t xml:space="preserve">- </w:t>
      </w:r>
      <w:r w:rsidR="003B024F">
        <w:t xml:space="preserve"> </w:t>
      </w:r>
      <w:r w:rsidR="003E6DD7">
        <w:t>Country</w:t>
      </w:r>
      <w:proofErr w:type="gramEnd"/>
      <w:r w:rsidR="003E6DD7">
        <w:t xml:space="preserve"> Club, School Street, </w:t>
      </w:r>
      <w:proofErr w:type="spellStart"/>
      <w:r w:rsidR="003E6DD7">
        <w:t>Sonsara</w:t>
      </w:r>
      <w:proofErr w:type="spellEnd"/>
      <w:r w:rsidR="003E6DD7">
        <w:t xml:space="preserve">, Aegis/Moraga Royale, Larch, Rimer, and Sanders Ranch - are </w:t>
      </w:r>
      <w:r w:rsidR="003E6DD7" w:rsidRPr="00BD6805">
        <w:rPr>
          <w:b/>
          <w:bCs/>
        </w:rPr>
        <w:t>particularly</w:t>
      </w:r>
      <w:r w:rsidR="003E6DD7">
        <w:t xml:space="preserve"> </w:t>
      </w:r>
      <w:r w:rsidR="0034732E" w:rsidRPr="0034732E">
        <w:rPr>
          <w:b/>
          <w:bCs/>
        </w:rPr>
        <w:t>imperiled</w:t>
      </w:r>
      <w:r w:rsidR="003E6DD7">
        <w:t xml:space="preserve"> by increasing population near the Moraga Way/Moraga Rd evacuation pinch point. </w:t>
      </w:r>
    </w:p>
    <w:p w14:paraId="342915CD" w14:textId="77777777" w:rsidR="0034732E" w:rsidRDefault="0034732E" w:rsidP="00AA175C">
      <w:pPr>
        <w:spacing w:after="0" w:line="240" w:lineRule="auto"/>
      </w:pPr>
    </w:p>
    <w:p w14:paraId="05F99757" w14:textId="1B2D5F07" w:rsidR="0075579C" w:rsidRDefault="002B73FA" w:rsidP="00AA175C">
      <w:pPr>
        <w:spacing w:after="0" w:line="240" w:lineRule="auto"/>
      </w:pPr>
      <w:r>
        <w:t xml:space="preserve">To fully understand the impacts </w:t>
      </w:r>
      <w:r w:rsidR="008B0405">
        <w:t xml:space="preserve">of hundreds of new residents and their vehicles </w:t>
      </w:r>
      <w:r>
        <w:t xml:space="preserve">on evacuation capacity, </w:t>
      </w:r>
      <w:r w:rsidR="00F75E95">
        <w:t xml:space="preserve">the </w:t>
      </w:r>
      <w:r>
        <w:t xml:space="preserve">Town Council </w:t>
      </w:r>
      <w:r w:rsidRPr="002B73FA">
        <w:rPr>
          <w:b/>
          <w:bCs/>
        </w:rPr>
        <w:t>MUST REQUIRE</w:t>
      </w:r>
      <w:r>
        <w:t xml:space="preserve"> a </w:t>
      </w:r>
      <w:r w:rsidRPr="00BD6805">
        <w:t>site-specific Environmental Impact Report</w:t>
      </w:r>
      <w:r>
        <w:t xml:space="preserve"> for this project</w:t>
      </w:r>
      <w:r w:rsidRPr="00BD6805">
        <w:t>,</w:t>
      </w:r>
      <w:r>
        <w:t xml:space="preserve"> along with </w:t>
      </w:r>
      <w:r w:rsidRPr="00BD6805">
        <w:t>updated evacuation analysis</w:t>
      </w:r>
      <w:r>
        <w:t xml:space="preserve">, </w:t>
      </w:r>
      <w:r w:rsidRPr="00BD6805">
        <w:t>modeling,</w:t>
      </w:r>
      <w:r>
        <w:rPr>
          <w:b/>
          <w:bCs/>
        </w:rPr>
        <w:t xml:space="preserve"> </w:t>
      </w:r>
      <w:r w:rsidRPr="009E0545">
        <w:t xml:space="preserve">and traffic </w:t>
      </w:r>
      <w:r>
        <w:t>studi</w:t>
      </w:r>
      <w:r w:rsidR="001B5CB5">
        <w:t>es</w:t>
      </w:r>
      <w:r>
        <w:t xml:space="preserve">. </w:t>
      </w:r>
      <w:r w:rsidR="00F75E95">
        <w:t xml:space="preserve">This analysis </w:t>
      </w:r>
      <w:r w:rsidR="00F75E95" w:rsidRPr="00F75E95">
        <w:rPr>
          <w:b/>
          <w:bCs/>
        </w:rPr>
        <w:t>MUST BE COMPLETED</w:t>
      </w:r>
      <w:r w:rsidR="00F75E95">
        <w:t xml:space="preserve"> and reviewed </w:t>
      </w:r>
      <w:r w:rsidR="00F75E95" w:rsidRPr="0038605A">
        <w:rPr>
          <w:i/>
          <w:iCs/>
        </w:rPr>
        <w:t>before</w:t>
      </w:r>
      <w:r w:rsidR="00F75E95">
        <w:t xml:space="preserve"> </w:t>
      </w:r>
      <w:proofErr w:type="gramStart"/>
      <w:r w:rsidR="00F75E95">
        <w:t>Town</w:t>
      </w:r>
      <w:proofErr w:type="gramEnd"/>
      <w:r w:rsidR="00133250">
        <w:t xml:space="preserve"> </w:t>
      </w:r>
      <w:r w:rsidR="00F75E95">
        <w:t xml:space="preserve">Council can give due consideration to this project. </w:t>
      </w:r>
      <w:r w:rsidR="0075579C" w:rsidRPr="002032E9">
        <w:t xml:space="preserve">In 2024, Contra Costa Superior Court ruled in favor of the </w:t>
      </w:r>
      <w:proofErr w:type="spellStart"/>
      <w:r w:rsidR="0075579C" w:rsidRPr="002032E9">
        <w:t>Orindans</w:t>
      </w:r>
      <w:proofErr w:type="spellEnd"/>
      <w:r w:rsidR="0075579C" w:rsidRPr="002032E9">
        <w:t xml:space="preserve"> for Safe Emergency Evacuation</w:t>
      </w:r>
      <w:r w:rsidR="0075579C">
        <w:t xml:space="preserve"> (OSEE)</w:t>
      </w:r>
      <w:r w:rsidR="0075579C" w:rsidRPr="002032E9">
        <w:t>, requiring the Town of Orinda to decertify its Plan Orinda Environmental Impact Report (EIR) for failing to adequately address wildfire evacuation and emergency response. Orinda must now revise its EIR and Housing Element</w:t>
      </w:r>
      <w:r w:rsidR="0075579C">
        <w:t>.</w:t>
      </w:r>
    </w:p>
    <w:p w14:paraId="1EF70D7D" w14:textId="77777777" w:rsidR="0075579C" w:rsidRDefault="0075579C" w:rsidP="00AA175C">
      <w:pPr>
        <w:spacing w:after="0" w:line="240" w:lineRule="auto"/>
      </w:pPr>
    </w:p>
    <w:p w14:paraId="1DC26B82" w14:textId="1402A615" w:rsidR="00F75E95" w:rsidRPr="00144EFE" w:rsidRDefault="0075579C" w:rsidP="002B73FA">
      <w:pPr>
        <w:spacing w:after="0" w:line="240" w:lineRule="auto"/>
        <w:rPr>
          <w:b/>
          <w:bCs/>
        </w:rPr>
      </w:pPr>
      <w:r w:rsidRPr="00144EFE">
        <w:rPr>
          <w:b/>
          <w:bCs/>
        </w:rPr>
        <w:t>DO NOT PUT LIVES AT RISK BEFORE YOU HAVE ALL THE FACTS!</w:t>
      </w:r>
      <w:r w:rsidRPr="009D4397">
        <w:t xml:space="preserve"> </w:t>
      </w:r>
      <w:r w:rsidR="002B73FA" w:rsidRPr="009D4397">
        <w:t xml:space="preserve">The decisions that </w:t>
      </w:r>
      <w:r w:rsidR="002B73FA" w:rsidRPr="009D4397">
        <w:rPr>
          <w:b/>
          <w:bCs/>
        </w:rPr>
        <w:t>YOU MAKE</w:t>
      </w:r>
      <w:r w:rsidR="002B73FA" w:rsidRPr="009D4397">
        <w:t xml:space="preserve"> about where to increase population density in our Town may have life or death consequences for your neighbors</w:t>
      </w:r>
      <w:r w:rsidRPr="009D4397">
        <w:t xml:space="preserve"> – </w:t>
      </w:r>
      <w:r w:rsidRPr="009D4397">
        <w:rPr>
          <w:b/>
          <w:bCs/>
        </w:rPr>
        <w:t>AND</w:t>
      </w:r>
      <w:r w:rsidRPr="009D4397">
        <w:t xml:space="preserve"> expose the Town to costly and protracted litigation.</w:t>
      </w:r>
      <w:r w:rsidRPr="00144EFE">
        <w:rPr>
          <w:b/>
          <w:bCs/>
        </w:rPr>
        <w:t xml:space="preserve"> </w:t>
      </w:r>
    </w:p>
    <w:p w14:paraId="3D1D0204" w14:textId="77777777" w:rsidR="002B73FA" w:rsidRDefault="002B73FA" w:rsidP="00AA175C">
      <w:pPr>
        <w:spacing w:after="0" w:line="240" w:lineRule="auto"/>
      </w:pPr>
    </w:p>
    <w:p w14:paraId="40956E71" w14:textId="4DC372D2" w:rsidR="00144EFE" w:rsidRDefault="00F75E95" w:rsidP="00F75E95">
      <w:pPr>
        <w:spacing w:after="0" w:line="240" w:lineRule="auto"/>
        <w:rPr>
          <w:b/>
          <w:bCs/>
        </w:rPr>
      </w:pPr>
      <w:r>
        <w:rPr>
          <w:b/>
          <w:bCs/>
        </w:rPr>
        <w:t xml:space="preserve">II. </w:t>
      </w:r>
      <w:r w:rsidR="009D4397">
        <w:rPr>
          <w:b/>
          <w:bCs/>
        </w:rPr>
        <w:t xml:space="preserve">Based on the plans for the 1600 School Street Project submitted to the Moraga Planning Commission, this project DOES NOT QUALIFY for the density bonuses and height/story waivers it </w:t>
      </w:r>
      <w:r w:rsidR="0012601F">
        <w:rPr>
          <w:b/>
          <w:bCs/>
        </w:rPr>
        <w:t>is requesting</w:t>
      </w:r>
      <w:r w:rsidR="009D4397">
        <w:rPr>
          <w:b/>
          <w:bCs/>
        </w:rPr>
        <w:t xml:space="preserve">. </w:t>
      </w:r>
    </w:p>
    <w:p w14:paraId="772665EF" w14:textId="77777777" w:rsidR="00144EFE" w:rsidRDefault="00144EFE" w:rsidP="00F75E95">
      <w:pPr>
        <w:spacing w:after="0" w:line="240" w:lineRule="auto"/>
        <w:rPr>
          <w:b/>
          <w:bCs/>
        </w:rPr>
      </w:pPr>
    </w:p>
    <w:p w14:paraId="2B18925B" w14:textId="292E6203" w:rsidR="00231724" w:rsidRDefault="00C20C05" w:rsidP="00AA175C">
      <w:pPr>
        <w:spacing w:after="0" w:line="240" w:lineRule="auto"/>
      </w:pPr>
      <w:r>
        <w:t xml:space="preserve">The </w:t>
      </w:r>
      <w:r w:rsidR="00F75E95" w:rsidRPr="009D4397">
        <w:t xml:space="preserve">1600 School Street Project is a prime example of a Luxury Highrise Apartment Project </w:t>
      </w:r>
      <w:r w:rsidR="006525C7" w:rsidRPr="00A65A61">
        <w:rPr>
          <w:b/>
          <w:bCs/>
        </w:rPr>
        <w:t>ATTEMPTING TO MANIPULATE</w:t>
      </w:r>
      <w:r w:rsidR="006525C7">
        <w:t xml:space="preserve"> </w:t>
      </w:r>
      <w:r w:rsidR="00F75E95" w:rsidRPr="009D4397">
        <w:t>affordable housing laws to</w:t>
      </w:r>
      <w:r w:rsidR="009D4397">
        <w:t xml:space="preserve"> </w:t>
      </w:r>
      <w:r w:rsidR="00F75E95" w:rsidRPr="009D4397">
        <w:t>maximize developer profit</w:t>
      </w:r>
      <w:r w:rsidR="009D4397">
        <w:t xml:space="preserve">. </w:t>
      </w:r>
      <w:r w:rsidR="00144EFE">
        <w:t>Because 5 units in the 66-unit apartment building have been reserved as “Very-Low Income Units”</w:t>
      </w:r>
      <w:r w:rsidR="002B4579">
        <w:t xml:space="preserve"> (VLI Units),</w:t>
      </w:r>
      <w:r w:rsidR="00144EFE">
        <w:t xml:space="preserve"> </w:t>
      </w:r>
      <w:r w:rsidR="002F0045">
        <w:t>the developer is</w:t>
      </w:r>
      <w:r w:rsidR="00231724">
        <w:t xml:space="preserve"> attempting to </w:t>
      </w:r>
      <w:r w:rsidR="000D1675">
        <w:t>exploit</w:t>
      </w:r>
      <w:r w:rsidR="00231724">
        <w:t xml:space="preserve"> state and local laws that award incentives and concessions to </w:t>
      </w:r>
      <w:r w:rsidR="00231724" w:rsidRPr="0063345E">
        <w:rPr>
          <w:b/>
          <w:bCs/>
          <w:u w:val="single"/>
        </w:rPr>
        <w:t>affordable housing developments</w:t>
      </w:r>
      <w:r w:rsidR="00231724">
        <w:t xml:space="preserve"> to secure </w:t>
      </w:r>
      <w:r w:rsidR="00231724" w:rsidRPr="002F0045">
        <w:rPr>
          <w:b/>
          <w:bCs/>
        </w:rPr>
        <w:t>density bonuses</w:t>
      </w:r>
      <w:r w:rsidR="00231724">
        <w:t xml:space="preserve"> (allowing them to build </w:t>
      </w:r>
      <w:r w:rsidR="00231724" w:rsidRPr="003414C0">
        <w:rPr>
          <w:b/>
          <w:bCs/>
        </w:rPr>
        <w:t>more</w:t>
      </w:r>
      <w:r w:rsidR="00231724">
        <w:t xml:space="preserve"> than 48 units on a 2-acre parcel) </w:t>
      </w:r>
      <w:r w:rsidR="00231724" w:rsidRPr="003414C0">
        <w:rPr>
          <w:b/>
          <w:bCs/>
        </w:rPr>
        <w:t>AND</w:t>
      </w:r>
      <w:r w:rsidR="00231724">
        <w:t xml:space="preserve"> to obtain a </w:t>
      </w:r>
      <w:r w:rsidR="00231724" w:rsidRPr="00260383">
        <w:rPr>
          <w:b/>
          <w:bCs/>
        </w:rPr>
        <w:t>waiver of the height and story requirements</w:t>
      </w:r>
      <w:r w:rsidR="00231724">
        <w:t xml:space="preserve"> (allowing them to </w:t>
      </w:r>
      <w:r w:rsidR="00231724" w:rsidRPr="0087137C">
        <w:rPr>
          <w:b/>
          <w:bCs/>
        </w:rPr>
        <w:t>exceed</w:t>
      </w:r>
      <w:r w:rsidR="00231724">
        <w:t xml:space="preserve"> the </w:t>
      </w:r>
      <w:r w:rsidR="00220883">
        <w:t xml:space="preserve">Town of Moraga’s </w:t>
      </w:r>
      <w:r w:rsidR="00231724">
        <w:t>3-story, 45-foot height maximum</w:t>
      </w:r>
      <w:r w:rsidR="00220883">
        <w:t xml:space="preserve">). </w:t>
      </w:r>
    </w:p>
    <w:p w14:paraId="4FFD428F" w14:textId="77777777" w:rsidR="002B73FA" w:rsidRDefault="002B73FA" w:rsidP="00AA175C">
      <w:pPr>
        <w:spacing w:after="0" w:line="240" w:lineRule="auto"/>
      </w:pPr>
    </w:p>
    <w:p w14:paraId="5D5F0D7B" w14:textId="77777777" w:rsidR="00B825A9" w:rsidRDefault="00CA1306" w:rsidP="00B825A9">
      <w:pPr>
        <w:spacing w:after="0" w:line="240" w:lineRule="auto"/>
      </w:pPr>
      <w:r>
        <w:t>Moraga’s Affordable Housing Ordinance</w:t>
      </w:r>
      <w:r w:rsidR="000828D6">
        <w:t xml:space="preserve"> mandates that all inclusionary units (affordable housing units) </w:t>
      </w:r>
      <w:r w:rsidR="001823FA">
        <w:t xml:space="preserve">in a residential building meet certain </w:t>
      </w:r>
      <w:r w:rsidR="001823FA" w:rsidRPr="00685109">
        <w:rPr>
          <w:b/>
          <w:bCs/>
        </w:rPr>
        <w:t>design requirements</w:t>
      </w:r>
      <w:r w:rsidR="00904A06">
        <w:t>, including</w:t>
      </w:r>
      <w:r w:rsidR="00B825A9">
        <w:t xml:space="preserve"> that they</w:t>
      </w:r>
      <w:r w:rsidR="00904A06">
        <w:t xml:space="preserve">: </w:t>
      </w:r>
    </w:p>
    <w:p w14:paraId="5127ADBF" w14:textId="77777777" w:rsidR="006213A0" w:rsidRDefault="006213A0" w:rsidP="00B825A9">
      <w:pPr>
        <w:spacing w:after="0" w:line="240" w:lineRule="auto"/>
      </w:pPr>
    </w:p>
    <w:p w14:paraId="1439B919" w14:textId="1CEAED51" w:rsidR="00F50438" w:rsidRPr="006213A0" w:rsidRDefault="00B11E3D" w:rsidP="006213A0">
      <w:pPr>
        <w:pStyle w:val="ListParagraph"/>
        <w:numPr>
          <w:ilvl w:val="0"/>
          <w:numId w:val="5"/>
        </w:numPr>
        <w:spacing w:after="0" w:line="240" w:lineRule="auto"/>
      </w:pPr>
      <w:r>
        <w:t>B</w:t>
      </w:r>
      <w:r w:rsidR="00F50438" w:rsidRPr="006213A0">
        <w:t xml:space="preserve">e </w:t>
      </w:r>
      <w:r w:rsidR="00F50438" w:rsidRPr="003E1B77">
        <w:rPr>
          <w:b/>
          <w:bCs/>
        </w:rPr>
        <w:t>reasonably dispersed</w:t>
      </w:r>
      <w:r w:rsidR="00F50438" w:rsidRPr="006213A0">
        <w:t xml:space="preserve"> throughout the entirety of the residential development. </w:t>
      </w:r>
    </w:p>
    <w:p w14:paraId="6AE4E380" w14:textId="1CE77143" w:rsidR="00EF2768" w:rsidRPr="006213A0" w:rsidRDefault="00B11E3D" w:rsidP="006213A0">
      <w:pPr>
        <w:pStyle w:val="ListParagraph"/>
        <w:numPr>
          <w:ilvl w:val="0"/>
          <w:numId w:val="5"/>
        </w:numPr>
        <w:spacing w:after="0" w:line="240" w:lineRule="auto"/>
      </w:pPr>
      <w:r>
        <w:t>B</w:t>
      </w:r>
      <w:r w:rsidR="00F50438" w:rsidRPr="006213A0">
        <w:t xml:space="preserve">e </w:t>
      </w:r>
      <w:r w:rsidR="00F50438" w:rsidRPr="003E1B77">
        <w:rPr>
          <w:b/>
          <w:bCs/>
        </w:rPr>
        <w:t>comparable</w:t>
      </w:r>
      <w:r w:rsidR="00F50438" w:rsidRPr="006213A0">
        <w:t xml:space="preserve"> in terms of bedroom count to the market-rate units</w:t>
      </w:r>
      <w:r w:rsidR="00EF2768" w:rsidRPr="006213A0">
        <w:t>.</w:t>
      </w:r>
    </w:p>
    <w:p w14:paraId="69F889C0" w14:textId="350B5E49" w:rsidR="00EF2768" w:rsidRPr="006213A0" w:rsidRDefault="00B11E3D" w:rsidP="006213A0">
      <w:pPr>
        <w:pStyle w:val="ListParagraph"/>
        <w:numPr>
          <w:ilvl w:val="0"/>
          <w:numId w:val="5"/>
        </w:numPr>
        <w:spacing w:after="0" w:line="240" w:lineRule="auto"/>
      </w:pPr>
      <w:r>
        <w:t>H</w:t>
      </w:r>
      <w:r w:rsidR="00EF2768" w:rsidRPr="006213A0">
        <w:t xml:space="preserve">ave access to </w:t>
      </w:r>
      <w:r w:rsidR="00EF2768" w:rsidRPr="003E1B77">
        <w:rPr>
          <w:b/>
          <w:bCs/>
        </w:rPr>
        <w:t>all amenities</w:t>
      </w:r>
      <w:r w:rsidR="00EF2768" w:rsidRPr="006213A0">
        <w:t xml:space="preserve"> available to the market-rate units.</w:t>
      </w:r>
    </w:p>
    <w:p w14:paraId="2B134886" w14:textId="43428B40" w:rsidR="00F544C6" w:rsidRDefault="003C048E" w:rsidP="00F50438">
      <w:pPr>
        <w:spacing w:after="0" w:line="240" w:lineRule="auto"/>
      </w:pPr>
      <w:r>
        <w:t xml:space="preserve"> </w:t>
      </w:r>
    </w:p>
    <w:p w14:paraId="1511D787" w14:textId="77777777" w:rsidR="00CA1306" w:rsidRDefault="00CA1306" w:rsidP="00AA175C">
      <w:pPr>
        <w:spacing w:after="0" w:line="240" w:lineRule="auto"/>
      </w:pPr>
    </w:p>
    <w:p w14:paraId="1A8D8C79" w14:textId="12CA62FA" w:rsidR="002D5946" w:rsidRDefault="00F728E5" w:rsidP="00F728E5">
      <w:pPr>
        <w:spacing w:after="0" w:line="240" w:lineRule="auto"/>
      </w:pPr>
      <w:r>
        <w:lastRenderedPageBreak/>
        <w:t>The 1600 School Street</w:t>
      </w:r>
      <w:r w:rsidRPr="00BB66B8">
        <w:t xml:space="preserve"> Project </w:t>
      </w:r>
      <w:r w:rsidR="00B11E3D" w:rsidRPr="00B11E3D">
        <w:rPr>
          <w:b/>
          <w:bCs/>
        </w:rPr>
        <w:t>DOES NOT COMPLY</w:t>
      </w:r>
      <w:r w:rsidR="00B11E3D">
        <w:t xml:space="preserve"> </w:t>
      </w:r>
      <w:r w:rsidRPr="00BB66B8">
        <w:t>with these affordable housing design</w:t>
      </w:r>
      <w:r>
        <w:t xml:space="preserve"> </w:t>
      </w:r>
      <w:r w:rsidRPr="00BB66B8">
        <w:t>requirements</w:t>
      </w:r>
      <w:r w:rsidR="00324916">
        <w:t xml:space="preserve"> in several important respects</w:t>
      </w:r>
      <w:r>
        <w:t>.</w:t>
      </w:r>
      <w:r w:rsidR="002D5946">
        <w:t xml:space="preserve"> </w:t>
      </w:r>
      <w:r w:rsidR="001A5232">
        <w:t>The</w:t>
      </w:r>
      <w:r w:rsidR="00324916">
        <w:t xml:space="preserve"> project </w:t>
      </w:r>
      <w:r w:rsidR="00912E8C">
        <w:t>includes</w:t>
      </w:r>
      <w:r w:rsidR="00324916">
        <w:t xml:space="preserve"> </w:t>
      </w:r>
      <w:r w:rsidR="004F0893">
        <w:t xml:space="preserve">16 1-bedroom units, 35 2-bedroom units and 15 3-bedroom units. </w:t>
      </w:r>
      <w:r w:rsidR="00C06113" w:rsidRPr="007C1A0B">
        <w:rPr>
          <w:b/>
          <w:bCs/>
        </w:rPr>
        <w:t xml:space="preserve">However, the </w:t>
      </w:r>
      <w:r w:rsidR="006716EC" w:rsidRPr="007C1A0B">
        <w:rPr>
          <w:b/>
          <w:bCs/>
        </w:rPr>
        <w:t xml:space="preserve">5 VLI Units are limited to 4 </w:t>
      </w:r>
      <w:r w:rsidR="00B30BB3" w:rsidRPr="007C1A0B">
        <w:rPr>
          <w:b/>
          <w:bCs/>
        </w:rPr>
        <w:t xml:space="preserve">tiny </w:t>
      </w:r>
      <w:r w:rsidR="006716EC" w:rsidRPr="007C1A0B">
        <w:rPr>
          <w:b/>
          <w:bCs/>
        </w:rPr>
        <w:t>1</w:t>
      </w:r>
      <w:r w:rsidR="00AA3076" w:rsidRPr="007C1A0B">
        <w:rPr>
          <w:b/>
          <w:bCs/>
        </w:rPr>
        <w:t>-bedroom units</w:t>
      </w:r>
      <w:r w:rsidR="00B30BB3" w:rsidRPr="007C1A0B">
        <w:rPr>
          <w:b/>
          <w:bCs/>
        </w:rPr>
        <w:t xml:space="preserve"> and </w:t>
      </w:r>
      <w:r w:rsidR="00AA3076" w:rsidRPr="007C1A0B">
        <w:rPr>
          <w:b/>
          <w:bCs/>
        </w:rPr>
        <w:t xml:space="preserve">1 </w:t>
      </w:r>
      <w:r w:rsidR="00B30BB3" w:rsidRPr="007C1A0B">
        <w:rPr>
          <w:b/>
          <w:bCs/>
        </w:rPr>
        <w:t xml:space="preserve">tiny </w:t>
      </w:r>
      <w:r w:rsidR="00AA3076" w:rsidRPr="007C1A0B">
        <w:rPr>
          <w:b/>
          <w:bCs/>
        </w:rPr>
        <w:t>2-bedroom unit</w:t>
      </w:r>
      <w:r w:rsidR="005F5473" w:rsidRPr="007C1A0B">
        <w:rPr>
          <w:b/>
          <w:bCs/>
        </w:rPr>
        <w:t xml:space="preserve"> </w:t>
      </w:r>
      <w:r w:rsidR="005F5473" w:rsidRPr="00186C02">
        <w:rPr>
          <w:b/>
          <w:bCs/>
        </w:rPr>
        <w:t>(</w:t>
      </w:r>
      <w:r w:rsidR="007C1A0B">
        <w:rPr>
          <w:b/>
          <w:bCs/>
        </w:rPr>
        <w:t>and</w:t>
      </w:r>
      <w:r w:rsidR="005F5473" w:rsidRPr="00186C02">
        <w:rPr>
          <w:b/>
          <w:bCs/>
        </w:rPr>
        <w:t xml:space="preserve"> no </w:t>
      </w:r>
      <w:r w:rsidR="00AA3076" w:rsidRPr="00186C02">
        <w:rPr>
          <w:b/>
          <w:bCs/>
        </w:rPr>
        <w:t xml:space="preserve">3-bedroom </w:t>
      </w:r>
      <w:r w:rsidR="005F5473" w:rsidRPr="00186C02">
        <w:rPr>
          <w:b/>
          <w:bCs/>
        </w:rPr>
        <w:t>VLI Units)</w:t>
      </w:r>
      <w:r w:rsidR="00AA3076" w:rsidRPr="00186C02">
        <w:rPr>
          <w:b/>
          <w:bCs/>
        </w:rPr>
        <w:t>.</w:t>
      </w:r>
      <w:r w:rsidR="00AA3076">
        <w:t xml:space="preserve"> </w:t>
      </w:r>
      <w:r w:rsidR="00916066">
        <w:t xml:space="preserve">Furthermore, the 5 VLI Units </w:t>
      </w:r>
      <w:proofErr w:type="gramStart"/>
      <w:r w:rsidR="00916066">
        <w:t>are located in</w:t>
      </w:r>
      <w:proofErr w:type="gramEnd"/>
      <w:r w:rsidR="00916066">
        <w:t xml:space="preserve"> the least desirable parts of the complex</w:t>
      </w:r>
      <w:r w:rsidR="00F60AE2">
        <w:t xml:space="preserve"> (</w:t>
      </w:r>
      <w:r w:rsidR="00F60AE2" w:rsidRPr="00AB0D25">
        <w:t>e.g. near elevators</w:t>
      </w:r>
      <w:r w:rsidR="006B4F0E">
        <w:t>, trash rooms</w:t>
      </w:r>
      <w:r w:rsidR="00587CC2">
        <w:t xml:space="preserve"> or the lobby,</w:t>
      </w:r>
      <w:r w:rsidR="00F60AE2" w:rsidRPr="00AB0D25">
        <w:t xml:space="preserve"> or</w:t>
      </w:r>
      <w:r w:rsidR="00493D3A">
        <w:t xml:space="preserve"> </w:t>
      </w:r>
      <w:r w:rsidR="00493D3A" w:rsidRPr="00AB0D25">
        <w:t>with windows facing</w:t>
      </w:r>
      <w:r w:rsidR="00493D3A">
        <w:t xml:space="preserve"> the building or the busy street</w:t>
      </w:r>
      <w:r w:rsidR="00E42C2E">
        <w:t>)</w:t>
      </w:r>
      <w:r w:rsidR="00B30BB3">
        <w:t>.</w:t>
      </w:r>
      <w:r w:rsidR="00E25DD4">
        <w:t xml:space="preserve"> </w:t>
      </w:r>
      <w:r w:rsidR="00022742">
        <w:t>And while</w:t>
      </w:r>
      <w:r w:rsidR="00E630AB">
        <w:t xml:space="preserve"> </w:t>
      </w:r>
      <w:r w:rsidR="00071CB2">
        <w:t>all</w:t>
      </w:r>
      <w:r w:rsidR="00E630AB">
        <w:t xml:space="preserve"> the market-rate units include in-unit laundry, </w:t>
      </w:r>
      <w:r w:rsidR="00E630AB" w:rsidRPr="00071CB2">
        <w:rPr>
          <w:b/>
          <w:bCs/>
        </w:rPr>
        <w:t>none</w:t>
      </w:r>
      <w:r w:rsidR="00E630AB">
        <w:t xml:space="preserve"> of the </w:t>
      </w:r>
      <w:r w:rsidR="00F40DE8">
        <w:t xml:space="preserve">VLI Units </w:t>
      </w:r>
      <w:r w:rsidR="00B77C0E">
        <w:t xml:space="preserve">offer this amenity. </w:t>
      </w:r>
      <w:r w:rsidR="00E630AB">
        <w:t xml:space="preserve"> </w:t>
      </w:r>
    </w:p>
    <w:p w14:paraId="0BD20275" w14:textId="77777777" w:rsidR="00071CB2" w:rsidRDefault="00071CB2" w:rsidP="00F728E5">
      <w:pPr>
        <w:spacing w:after="0" w:line="240" w:lineRule="auto"/>
      </w:pPr>
    </w:p>
    <w:p w14:paraId="65CBC65A" w14:textId="6EDF3D35" w:rsidR="00BD6805" w:rsidRDefault="00071CB2" w:rsidP="00AA175C">
      <w:pPr>
        <w:spacing w:after="0" w:line="240" w:lineRule="auto"/>
      </w:pPr>
      <w:r>
        <w:t xml:space="preserve">The developer has failed to comply with </w:t>
      </w:r>
      <w:r w:rsidR="00E25DD4">
        <w:t xml:space="preserve">design requirements for affordable housing established by the Moraga Affordable Housing Ordinance and </w:t>
      </w:r>
      <w:r w:rsidR="001D2494">
        <w:t xml:space="preserve">is </w:t>
      </w:r>
      <w:r w:rsidR="001D2494" w:rsidRPr="001D2494">
        <w:rPr>
          <w:b/>
          <w:bCs/>
        </w:rPr>
        <w:t>NOT ENTITLED</w:t>
      </w:r>
      <w:r w:rsidR="001D2494">
        <w:t xml:space="preserve"> to the </w:t>
      </w:r>
      <w:r w:rsidR="00592248">
        <w:t xml:space="preserve">bonuses, waivers and concessions it seeks from the Town of Moraga. </w:t>
      </w:r>
      <w:r w:rsidR="0027207B" w:rsidRPr="00E41B46">
        <w:rPr>
          <w:b/>
          <w:bCs/>
        </w:rPr>
        <w:t xml:space="preserve">DO NOT </w:t>
      </w:r>
      <w:r w:rsidR="00E41B46" w:rsidRPr="00E41B46">
        <w:rPr>
          <w:b/>
          <w:bCs/>
        </w:rPr>
        <w:t>APPROVE UNEARNED GIVEAWAYS TO DEVELOPERS!</w:t>
      </w:r>
      <w:r w:rsidR="00E41B46">
        <w:t xml:space="preserve"> </w:t>
      </w:r>
      <w:r w:rsidR="00BB5CB4">
        <w:br/>
      </w:r>
    </w:p>
    <w:p w14:paraId="674A4C47" w14:textId="35F0C93D" w:rsidR="0075579C" w:rsidRPr="004A4CA9" w:rsidRDefault="0034732E" w:rsidP="0075579C">
      <w:pPr>
        <w:spacing w:after="0" w:line="240" w:lineRule="auto"/>
        <w:rPr>
          <w:b/>
          <w:bCs/>
        </w:rPr>
      </w:pPr>
      <w:r w:rsidRPr="0034732E">
        <w:rPr>
          <w:b/>
          <w:bCs/>
        </w:rPr>
        <w:t xml:space="preserve">III. </w:t>
      </w:r>
      <w:r w:rsidR="006B142C" w:rsidRPr="004A4CA9">
        <w:rPr>
          <w:b/>
          <w:bCs/>
        </w:rPr>
        <w:t>This</w:t>
      </w:r>
      <w:r w:rsidR="0075579C" w:rsidRPr="004A4CA9">
        <w:rPr>
          <w:b/>
          <w:bCs/>
        </w:rPr>
        <w:t xml:space="preserve"> Luxury Apartment Project </w:t>
      </w:r>
      <w:r w:rsidR="008A6885">
        <w:rPr>
          <w:b/>
          <w:bCs/>
        </w:rPr>
        <w:t>DOES</w:t>
      </w:r>
      <w:r w:rsidR="008A6885" w:rsidRPr="008A6885">
        <w:rPr>
          <w:b/>
          <w:bCs/>
        </w:rPr>
        <w:t xml:space="preserve"> </w:t>
      </w:r>
      <w:r w:rsidR="0075579C" w:rsidRPr="008A6885">
        <w:rPr>
          <w:b/>
          <w:bCs/>
        </w:rPr>
        <w:t xml:space="preserve">NOT </w:t>
      </w:r>
      <w:r w:rsidR="0075579C" w:rsidRPr="004A4CA9">
        <w:rPr>
          <w:b/>
          <w:bCs/>
        </w:rPr>
        <w:t xml:space="preserve">help the Town of Moraga make meaningful progress toward meeting its RHNA for affordable housing units. </w:t>
      </w:r>
    </w:p>
    <w:p w14:paraId="255704B6" w14:textId="77777777" w:rsidR="0034732E" w:rsidRDefault="0034732E" w:rsidP="00AA175C">
      <w:pPr>
        <w:spacing w:after="0" w:line="240" w:lineRule="auto"/>
      </w:pPr>
    </w:p>
    <w:p w14:paraId="45597D58" w14:textId="5B7A1D07" w:rsidR="00D27ADE" w:rsidRDefault="0075579C" w:rsidP="00D27ADE">
      <w:pPr>
        <w:spacing w:after="0" w:line="240" w:lineRule="auto"/>
      </w:pPr>
      <w:r w:rsidRPr="00E32A1E">
        <w:t xml:space="preserve">Out of the 66 units in the 1600 School Street Project, </w:t>
      </w:r>
      <w:r w:rsidRPr="00E32A1E">
        <w:rPr>
          <w:b/>
          <w:bCs/>
          <w:u w:val="single"/>
        </w:rPr>
        <w:t>ONLY 5 units</w:t>
      </w:r>
      <w:r w:rsidRPr="00E32A1E">
        <w:t xml:space="preserve"> have been designated as </w:t>
      </w:r>
      <w:r w:rsidR="006F53B0">
        <w:t>affordable</w:t>
      </w:r>
      <w:r w:rsidRPr="00E32A1E">
        <w:t xml:space="preserve"> housing units</w:t>
      </w:r>
      <w:r w:rsidR="004A4CA9" w:rsidRPr="00E32A1E">
        <w:t xml:space="preserve">. </w:t>
      </w:r>
      <w:r w:rsidR="00D27ADE">
        <w:t xml:space="preserve">Under the California Housing Mandate, the Town of Moraga </w:t>
      </w:r>
      <w:r w:rsidR="00D27ADE" w:rsidRPr="00AE5E36">
        <w:t xml:space="preserve">is required to demonstrate to the State Department of Housing and Community Development (HCD) that it has the </w:t>
      </w:r>
      <w:r w:rsidR="00D27ADE" w:rsidRPr="00D27ADE">
        <w:t>capacity</w:t>
      </w:r>
      <w:r w:rsidR="00D27ADE" w:rsidRPr="00AE5E36">
        <w:t xml:space="preserve"> to add at least 1,118 new housing units by 2031</w:t>
      </w:r>
      <w:r w:rsidR="00D27ADE" w:rsidRPr="00F80A31">
        <w:rPr>
          <w:b/>
          <w:bCs/>
        </w:rPr>
        <w:t xml:space="preserve">. Of the 1,118 units, </w:t>
      </w:r>
      <w:r w:rsidR="00D27ADE" w:rsidRPr="007232E0">
        <w:rPr>
          <w:b/>
          <w:bCs/>
          <w:u w:val="single"/>
        </w:rPr>
        <w:t>673</w:t>
      </w:r>
      <w:r w:rsidR="00D27ADE" w:rsidRPr="00F80A31">
        <w:rPr>
          <w:b/>
          <w:bCs/>
        </w:rPr>
        <w:t xml:space="preserve"> must be “affordable housing units” reserved for residents who meet very low income, low income, and moderate-income thresholds</w:t>
      </w:r>
      <w:r w:rsidR="00D27ADE">
        <w:t xml:space="preserve">. </w:t>
      </w:r>
    </w:p>
    <w:p w14:paraId="6149F626" w14:textId="152A77D5" w:rsidR="0075579C" w:rsidRDefault="0075579C" w:rsidP="0075579C">
      <w:pPr>
        <w:spacing w:after="0" w:line="240" w:lineRule="auto"/>
      </w:pPr>
    </w:p>
    <w:p w14:paraId="659E945A" w14:textId="7992E0E6" w:rsidR="00D27ADE" w:rsidRPr="005D0B35" w:rsidRDefault="00D27ADE" w:rsidP="00D27ADE">
      <w:pPr>
        <w:spacing w:after="0" w:line="240" w:lineRule="auto"/>
        <w:rPr>
          <w:b/>
          <w:bCs/>
        </w:rPr>
      </w:pPr>
      <w:r w:rsidRPr="00633F31">
        <w:t>If this</w:t>
      </w:r>
      <w:r w:rsidR="005D0B35">
        <w:t xml:space="preserve"> high-rise </w:t>
      </w:r>
      <w:r w:rsidRPr="00633F31">
        <w:t xml:space="preserve">is built, Moraga will still need to plan for the development of </w:t>
      </w:r>
      <w:r w:rsidRPr="005D0B35">
        <w:rPr>
          <w:b/>
          <w:bCs/>
        </w:rPr>
        <w:t xml:space="preserve">an additional </w:t>
      </w:r>
      <w:r w:rsidRPr="007232E0">
        <w:rPr>
          <w:b/>
          <w:bCs/>
          <w:u w:val="single"/>
        </w:rPr>
        <w:t>668</w:t>
      </w:r>
      <w:r w:rsidRPr="005D0B35">
        <w:rPr>
          <w:b/>
          <w:bCs/>
        </w:rPr>
        <w:t xml:space="preserve"> “affordable housing units”</w:t>
      </w:r>
      <w:r w:rsidR="008642C9">
        <w:rPr>
          <w:b/>
          <w:bCs/>
        </w:rPr>
        <w:t xml:space="preserve"> on the remaining in</w:t>
      </w:r>
      <w:r w:rsidR="002D5768">
        <w:rPr>
          <w:b/>
          <w:bCs/>
        </w:rPr>
        <w:t xml:space="preserve">fill sites in Town. </w:t>
      </w:r>
      <w:r w:rsidRPr="005D0B35">
        <w:rPr>
          <w:b/>
          <w:bCs/>
        </w:rPr>
        <w:t xml:space="preserve">  </w:t>
      </w:r>
    </w:p>
    <w:p w14:paraId="45D69E68" w14:textId="77777777" w:rsidR="00D27ADE" w:rsidRDefault="00D27ADE" w:rsidP="00D27ADE">
      <w:pPr>
        <w:spacing w:after="0" w:line="240" w:lineRule="auto"/>
        <w:rPr>
          <w:b/>
          <w:bCs/>
        </w:rPr>
      </w:pPr>
    </w:p>
    <w:p w14:paraId="42C2AEF8" w14:textId="7D48BDF7" w:rsidR="00D27ADE" w:rsidRPr="00633F31" w:rsidRDefault="00633F31" w:rsidP="00D27ADE">
      <w:pPr>
        <w:spacing w:after="0" w:line="240" w:lineRule="auto"/>
        <w:rPr>
          <w:b/>
          <w:bCs/>
        </w:rPr>
      </w:pPr>
      <w:r w:rsidRPr="00633F31">
        <w:rPr>
          <w:b/>
          <w:bCs/>
        </w:rPr>
        <w:t>APPROVING LUXURY HIGH-RISES</w:t>
      </w:r>
      <w:r w:rsidR="00D27ADE" w:rsidRPr="00633F31">
        <w:rPr>
          <w:b/>
          <w:bCs/>
        </w:rPr>
        <w:t xml:space="preserve"> WILL NOT </w:t>
      </w:r>
      <w:r w:rsidRPr="00633F31">
        <w:rPr>
          <w:b/>
          <w:bCs/>
        </w:rPr>
        <w:t>HELP MORAGA MEET ITS</w:t>
      </w:r>
      <w:r w:rsidR="005D0B35">
        <w:rPr>
          <w:b/>
          <w:bCs/>
        </w:rPr>
        <w:t xml:space="preserve"> RHNA </w:t>
      </w:r>
      <w:r w:rsidRPr="00633F31">
        <w:rPr>
          <w:b/>
          <w:bCs/>
        </w:rPr>
        <w:t xml:space="preserve">AFFORDABLE HOUSING ALLOCATION. </w:t>
      </w:r>
      <w:r w:rsidR="00D12674">
        <w:rPr>
          <w:b/>
          <w:bCs/>
        </w:rPr>
        <w:t>THIS IS THE WRONG PROJECT FOR MORAGA</w:t>
      </w:r>
      <w:r w:rsidR="005D0B35">
        <w:rPr>
          <w:b/>
          <w:bCs/>
        </w:rPr>
        <w:t>!</w:t>
      </w:r>
      <w:r w:rsidR="00D12674">
        <w:rPr>
          <w:b/>
          <w:bCs/>
        </w:rPr>
        <w:t xml:space="preserve"> </w:t>
      </w:r>
    </w:p>
    <w:p w14:paraId="74D8155B" w14:textId="77777777" w:rsidR="00EE4C7F" w:rsidRDefault="00EE4C7F" w:rsidP="00AA175C">
      <w:pPr>
        <w:spacing w:after="0" w:line="240" w:lineRule="auto"/>
      </w:pPr>
    </w:p>
    <w:p w14:paraId="7798F35D" w14:textId="6AC8F59D" w:rsidR="009E0545" w:rsidRDefault="004F2D5D" w:rsidP="00AA175C">
      <w:pPr>
        <w:spacing w:after="0" w:line="240" w:lineRule="auto"/>
      </w:pPr>
      <w:r>
        <w:t xml:space="preserve">Thank you </w:t>
      </w:r>
      <w:r w:rsidR="00783855">
        <w:t xml:space="preserve">for your attention to these serious concerns. </w:t>
      </w:r>
    </w:p>
    <w:p w14:paraId="5E3D3576" w14:textId="77777777" w:rsidR="00783855" w:rsidRDefault="00783855" w:rsidP="00AA175C">
      <w:pPr>
        <w:spacing w:after="0" w:line="240" w:lineRule="auto"/>
      </w:pPr>
    </w:p>
    <w:p w14:paraId="391FF996" w14:textId="77777777" w:rsidR="00783855" w:rsidRDefault="00783855" w:rsidP="00AA175C">
      <w:pPr>
        <w:spacing w:after="0" w:line="240" w:lineRule="auto"/>
      </w:pPr>
    </w:p>
    <w:sectPr w:rsidR="0078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DD7"/>
    <w:multiLevelType w:val="hybridMultilevel"/>
    <w:tmpl w:val="A85A2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81F0D"/>
    <w:multiLevelType w:val="hybridMultilevel"/>
    <w:tmpl w:val="75465A86"/>
    <w:lvl w:ilvl="0" w:tplc="47F4C7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8C01C6"/>
    <w:multiLevelType w:val="hybridMultilevel"/>
    <w:tmpl w:val="83D02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AE252A"/>
    <w:multiLevelType w:val="hybridMultilevel"/>
    <w:tmpl w:val="69CE9F42"/>
    <w:lvl w:ilvl="0" w:tplc="621E7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83175"/>
    <w:multiLevelType w:val="hybridMultilevel"/>
    <w:tmpl w:val="7FE6306E"/>
    <w:lvl w:ilvl="0" w:tplc="26C47D0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336536">
    <w:abstractNumId w:val="1"/>
  </w:num>
  <w:num w:numId="2" w16cid:durableId="729766068">
    <w:abstractNumId w:val="3"/>
  </w:num>
  <w:num w:numId="3" w16cid:durableId="1388643825">
    <w:abstractNumId w:val="4"/>
  </w:num>
  <w:num w:numId="4" w16cid:durableId="580794352">
    <w:abstractNumId w:val="0"/>
  </w:num>
  <w:num w:numId="5" w16cid:durableId="10230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5"/>
    <w:rsid w:val="00022742"/>
    <w:rsid w:val="00025771"/>
    <w:rsid w:val="00071CB2"/>
    <w:rsid w:val="000828D6"/>
    <w:rsid w:val="000D1675"/>
    <w:rsid w:val="0012601F"/>
    <w:rsid w:val="00133250"/>
    <w:rsid w:val="00144EFE"/>
    <w:rsid w:val="001823FA"/>
    <w:rsid w:val="00186C02"/>
    <w:rsid w:val="001A5232"/>
    <w:rsid w:val="001B5CB5"/>
    <w:rsid w:val="001D2494"/>
    <w:rsid w:val="00220883"/>
    <w:rsid w:val="00231724"/>
    <w:rsid w:val="00260383"/>
    <w:rsid w:val="0027207B"/>
    <w:rsid w:val="002803AE"/>
    <w:rsid w:val="002B4579"/>
    <w:rsid w:val="002B73FA"/>
    <w:rsid w:val="002C69C4"/>
    <w:rsid w:val="002D5768"/>
    <w:rsid w:val="002D5946"/>
    <w:rsid w:val="002F0045"/>
    <w:rsid w:val="00324916"/>
    <w:rsid w:val="0034732E"/>
    <w:rsid w:val="0038605A"/>
    <w:rsid w:val="00394763"/>
    <w:rsid w:val="003A3068"/>
    <w:rsid w:val="003B024F"/>
    <w:rsid w:val="003B55E2"/>
    <w:rsid w:val="003C048E"/>
    <w:rsid w:val="003E1B77"/>
    <w:rsid w:val="003E55F7"/>
    <w:rsid w:val="003E6DD7"/>
    <w:rsid w:val="003F0B34"/>
    <w:rsid w:val="00474F90"/>
    <w:rsid w:val="00482BAA"/>
    <w:rsid w:val="00493D3A"/>
    <w:rsid w:val="004A4CA9"/>
    <w:rsid w:val="004D52D6"/>
    <w:rsid w:val="004F0893"/>
    <w:rsid w:val="004F2D5D"/>
    <w:rsid w:val="004F74BD"/>
    <w:rsid w:val="00501A26"/>
    <w:rsid w:val="00556AAE"/>
    <w:rsid w:val="00587CC2"/>
    <w:rsid w:val="00592248"/>
    <w:rsid w:val="005D0B35"/>
    <w:rsid w:val="005F5473"/>
    <w:rsid w:val="00606C34"/>
    <w:rsid w:val="006213A0"/>
    <w:rsid w:val="00633F31"/>
    <w:rsid w:val="006525C7"/>
    <w:rsid w:val="006716EC"/>
    <w:rsid w:val="00680D32"/>
    <w:rsid w:val="00685109"/>
    <w:rsid w:val="006B142C"/>
    <w:rsid w:val="006B144B"/>
    <w:rsid w:val="006B4F0E"/>
    <w:rsid w:val="006F53B0"/>
    <w:rsid w:val="00712E42"/>
    <w:rsid w:val="007232E0"/>
    <w:rsid w:val="007426F1"/>
    <w:rsid w:val="0075579C"/>
    <w:rsid w:val="00783855"/>
    <w:rsid w:val="007C1A0B"/>
    <w:rsid w:val="00815F2A"/>
    <w:rsid w:val="00862A13"/>
    <w:rsid w:val="008642C9"/>
    <w:rsid w:val="0087137C"/>
    <w:rsid w:val="008A6885"/>
    <w:rsid w:val="008B0405"/>
    <w:rsid w:val="00904A06"/>
    <w:rsid w:val="00912E8C"/>
    <w:rsid w:val="00916066"/>
    <w:rsid w:val="00977D44"/>
    <w:rsid w:val="009D4397"/>
    <w:rsid w:val="009E0545"/>
    <w:rsid w:val="00A10C6B"/>
    <w:rsid w:val="00A60435"/>
    <w:rsid w:val="00A65A61"/>
    <w:rsid w:val="00AA175C"/>
    <w:rsid w:val="00AA3076"/>
    <w:rsid w:val="00B11E3D"/>
    <w:rsid w:val="00B1330F"/>
    <w:rsid w:val="00B30BB3"/>
    <w:rsid w:val="00B77C0E"/>
    <w:rsid w:val="00B825A9"/>
    <w:rsid w:val="00BB5CB4"/>
    <w:rsid w:val="00BD6805"/>
    <w:rsid w:val="00C06113"/>
    <w:rsid w:val="00C20C05"/>
    <w:rsid w:val="00CA1306"/>
    <w:rsid w:val="00CE2210"/>
    <w:rsid w:val="00D12674"/>
    <w:rsid w:val="00D27ADE"/>
    <w:rsid w:val="00E25DD4"/>
    <w:rsid w:val="00E3146A"/>
    <w:rsid w:val="00E32A1E"/>
    <w:rsid w:val="00E41B46"/>
    <w:rsid w:val="00E42C2E"/>
    <w:rsid w:val="00E630AB"/>
    <w:rsid w:val="00E83AA8"/>
    <w:rsid w:val="00E93EB2"/>
    <w:rsid w:val="00EE4C7F"/>
    <w:rsid w:val="00EE5E9F"/>
    <w:rsid w:val="00EF2768"/>
    <w:rsid w:val="00F0131E"/>
    <w:rsid w:val="00F40DE8"/>
    <w:rsid w:val="00F50438"/>
    <w:rsid w:val="00F544C6"/>
    <w:rsid w:val="00F55153"/>
    <w:rsid w:val="00F60AE2"/>
    <w:rsid w:val="00F7096D"/>
    <w:rsid w:val="00F728E5"/>
    <w:rsid w:val="00F75E95"/>
    <w:rsid w:val="00FA2433"/>
    <w:rsid w:val="00FF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B3A6"/>
  <w15:chartTrackingRefBased/>
  <w15:docId w15:val="{198CEA6C-F257-4BD0-BD4D-B3123DC3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545"/>
    <w:rPr>
      <w:rFonts w:eastAsiaTheme="majorEastAsia" w:cstheme="majorBidi"/>
      <w:color w:val="272727" w:themeColor="text1" w:themeTint="D8"/>
    </w:rPr>
  </w:style>
  <w:style w:type="paragraph" w:styleId="Title">
    <w:name w:val="Title"/>
    <w:basedOn w:val="Normal"/>
    <w:next w:val="Normal"/>
    <w:link w:val="TitleChar"/>
    <w:uiPriority w:val="10"/>
    <w:qFormat/>
    <w:rsid w:val="009E0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545"/>
    <w:pPr>
      <w:spacing w:before="160"/>
      <w:jc w:val="center"/>
    </w:pPr>
    <w:rPr>
      <w:i/>
      <w:iCs/>
      <w:color w:val="404040" w:themeColor="text1" w:themeTint="BF"/>
    </w:rPr>
  </w:style>
  <w:style w:type="character" w:customStyle="1" w:styleId="QuoteChar">
    <w:name w:val="Quote Char"/>
    <w:basedOn w:val="DefaultParagraphFont"/>
    <w:link w:val="Quote"/>
    <w:uiPriority w:val="29"/>
    <w:rsid w:val="009E0545"/>
    <w:rPr>
      <w:i/>
      <w:iCs/>
      <w:color w:val="404040" w:themeColor="text1" w:themeTint="BF"/>
    </w:rPr>
  </w:style>
  <w:style w:type="paragraph" w:styleId="ListParagraph">
    <w:name w:val="List Paragraph"/>
    <w:basedOn w:val="Normal"/>
    <w:uiPriority w:val="34"/>
    <w:qFormat/>
    <w:rsid w:val="009E0545"/>
    <w:pPr>
      <w:ind w:left="720"/>
      <w:contextualSpacing/>
    </w:pPr>
  </w:style>
  <w:style w:type="character" w:styleId="IntenseEmphasis">
    <w:name w:val="Intense Emphasis"/>
    <w:basedOn w:val="DefaultParagraphFont"/>
    <w:uiPriority w:val="21"/>
    <w:qFormat/>
    <w:rsid w:val="009E0545"/>
    <w:rPr>
      <w:i/>
      <w:iCs/>
      <w:color w:val="0F4761" w:themeColor="accent1" w:themeShade="BF"/>
    </w:rPr>
  </w:style>
  <w:style w:type="paragraph" w:styleId="IntenseQuote">
    <w:name w:val="Intense Quote"/>
    <w:basedOn w:val="Normal"/>
    <w:next w:val="Normal"/>
    <w:link w:val="IntenseQuoteChar"/>
    <w:uiPriority w:val="30"/>
    <w:qFormat/>
    <w:rsid w:val="009E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545"/>
    <w:rPr>
      <w:i/>
      <w:iCs/>
      <w:color w:val="0F4761" w:themeColor="accent1" w:themeShade="BF"/>
    </w:rPr>
  </w:style>
  <w:style w:type="character" w:styleId="IntenseReference">
    <w:name w:val="Intense Reference"/>
    <w:basedOn w:val="DefaultParagraphFont"/>
    <w:uiPriority w:val="32"/>
    <w:qFormat/>
    <w:rsid w:val="009E0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Bergfeld, Emily, Law Library</dc:creator>
  <cp:keywords/>
  <dc:description/>
  <cp:lastModifiedBy>Bergfeld, Emily, Law Library</cp:lastModifiedBy>
  <cp:revision>95</cp:revision>
  <dcterms:created xsi:type="dcterms:W3CDTF">2024-11-25T18:32:00Z</dcterms:created>
  <dcterms:modified xsi:type="dcterms:W3CDTF">2024-11-26T03:36:00Z</dcterms:modified>
</cp:coreProperties>
</file>